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5A466">
      <w:pPr>
        <w:spacing w:before="312" w:beforeLines="100" w:after="312" w:afterLines="100"/>
        <w:jc w:val="center"/>
        <w:rPr>
          <w:rFonts w:ascii="Times New Roman" w:hAnsi="Times New Roman" w:eastAsia="方正小标宋简体"/>
          <w:sz w:val="36"/>
          <w:szCs w:val="36"/>
        </w:rPr>
      </w:pPr>
      <w:r>
        <w:rPr>
          <w:rFonts w:ascii="Times New Roman" w:hAnsi="Times New Roman" w:eastAsia="方正小标宋简体"/>
          <w:sz w:val="36"/>
          <w:szCs w:val="36"/>
        </w:rPr>
        <w:t>地方标准《</w:t>
      </w:r>
      <w:r>
        <w:rPr>
          <w:rFonts w:hint="eastAsia" w:ascii="Times New Roman" w:hAnsi="Times New Roman" w:eastAsia="方正小标宋简体"/>
          <w:sz w:val="36"/>
          <w:szCs w:val="36"/>
        </w:rPr>
        <w:t>慢性心力衰竭中西医结合慢病管理规范</w:t>
      </w:r>
      <w:r>
        <w:rPr>
          <w:rFonts w:ascii="Times New Roman" w:hAnsi="Times New Roman" w:eastAsia="方正小标宋简体"/>
          <w:sz w:val="36"/>
          <w:szCs w:val="36"/>
        </w:rPr>
        <w:t>》编制说明</w:t>
      </w:r>
    </w:p>
    <w:p w14:paraId="60439DEC">
      <w:pPr>
        <w:spacing w:before="312" w:beforeLines="100" w:after="312" w:afterLines="100"/>
        <w:jc w:val="center"/>
        <w:rPr>
          <w:rFonts w:ascii="楷体_GB2312" w:hAnsi="Times New Roman" w:eastAsia="楷体_GB2312"/>
          <w:sz w:val="28"/>
          <w:szCs w:val="28"/>
        </w:rPr>
      </w:pPr>
      <w:r>
        <w:rPr>
          <w:rFonts w:hint="eastAsia" w:ascii="楷体_GB2312" w:hAnsi="Times New Roman" w:eastAsia="楷体_GB2312"/>
          <w:sz w:val="28"/>
          <w:szCs w:val="28"/>
        </w:rPr>
        <w:t>（2025年1月）</w:t>
      </w:r>
    </w:p>
    <w:p w14:paraId="67FB3CA6">
      <w:pPr>
        <w:spacing w:before="156" w:beforeLines="50" w:after="156" w:afterLines="50"/>
        <w:rPr>
          <w:rFonts w:ascii="黑体" w:hAnsi="黑体" w:eastAsia="黑体"/>
          <w:sz w:val="28"/>
          <w:szCs w:val="28"/>
        </w:rPr>
      </w:pPr>
      <w:r>
        <w:rPr>
          <w:rFonts w:ascii="黑体" w:hAnsi="黑体" w:eastAsia="黑体"/>
          <w:sz w:val="28"/>
          <w:szCs w:val="28"/>
        </w:rPr>
        <w:t>一、工作简况</w:t>
      </w:r>
    </w:p>
    <w:p w14:paraId="716A349E">
      <w:pPr>
        <w:rPr>
          <w:rFonts w:ascii="Times New Roman" w:hAnsi="Times New Roman"/>
          <w:sz w:val="28"/>
          <w:szCs w:val="28"/>
        </w:rPr>
      </w:pPr>
      <w:r>
        <w:rPr>
          <w:rFonts w:hint="eastAsia" w:ascii="Times New Roman" w:hAnsi="Times New Roman"/>
          <w:sz w:val="28"/>
          <w:szCs w:val="28"/>
        </w:rPr>
        <w:t>1、任务来源</w:t>
      </w:r>
    </w:p>
    <w:p w14:paraId="04B75DE3">
      <w:pPr>
        <w:ind w:firstLine="560" w:firstLineChars="200"/>
        <w:rPr>
          <w:rFonts w:ascii="Times New Roman"/>
          <w:sz w:val="28"/>
          <w:szCs w:val="28"/>
        </w:rPr>
      </w:pPr>
      <w:r>
        <w:rPr>
          <w:rFonts w:hint="eastAsia" w:ascii="Times New Roman" w:hAnsi="Times New Roman"/>
          <w:sz w:val="28"/>
          <w:szCs w:val="28"/>
        </w:rPr>
        <w:t>本地方标准制修订项目来源于</w:t>
      </w:r>
      <w:r>
        <w:rPr>
          <w:rFonts w:hint="eastAsia" w:ascii="Times New Roman"/>
          <w:sz w:val="28"/>
          <w:szCs w:val="28"/>
        </w:rPr>
        <w:t>广东省市场监督管理局发布《广东省市场监督管理局关于批准下达2022年第一批广东省地方标准制修订计划项目的通知》（粤市监标准〔2022〕379号）文件。</w:t>
      </w:r>
    </w:p>
    <w:p w14:paraId="2532F825">
      <w:pPr>
        <w:rPr>
          <w:rFonts w:ascii="Times New Roman" w:hAnsi="Times New Roman"/>
          <w:sz w:val="28"/>
          <w:szCs w:val="28"/>
        </w:rPr>
      </w:pPr>
      <w:r>
        <w:rPr>
          <w:rFonts w:ascii="Times New Roman" w:hAnsi="Times New Roman"/>
          <w:sz w:val="28"/>
          <w:szCs w:val="28"/>
        </w:rPr>
        <w:t>2</w:t>
      </w:r>
      <w:r>
        <w:rPr>
          <w:rFonts w:hint="eastAsia" w:ascii="Times New Roman" w:hAnsi="Times New Roman"/>
          <w:sz w:val="28"/>
          <w:szCs w:val="28"/>
        </w:rPr>
        <w:t>、背景与意义</w:t>
      </w:r>
    </w:p>
    <w:p w14:paraId="591F9618">
      <w:pPr>
        <w:ind w:firstLine="560" w:firstLineChars="200"/>
        <w:rPr>
          <w:rFonts w:ascii="Times New Roman"/>
          <w:sz w:val="28"/>
          <w:szCs w:val="28"/>
        </w:rPr>
      </w:pPr>
      <w:r>
        <w:rPr>
          <w:rFonts w:hint="eastAsia" w:ascii="Times New Roman"/>
          <w:sz w:val="28"/>
          <w:szCs w:val="28"/>
        </w:rPr>
        <w:t>慢性心力衰竭是因心脏结构、功能的异常改变,导致心肌重构，使心室收缩和/或舒张功能发生障碍而产生的一组复杂临床综合征，其病程易反复，影响生活质量，预后差。随着医学的发展，研究表明，慢性心力衰竭综合治疗水平的提高，使心力衰竭死亡率较前下降，但其在心血管疾病相关死亡率中所占比例没有明显改变，病人出院后1年内的累积再住院率为34.3%，这对病人家庭及社会造成了沉重经济负担。在规范治疗基础上如何进一步降低心力衰竭再住院率、病死率已成为研究的重点。有Meta分析表明，通过有效的慢性病管理可使心力衰竭病人因心血管疾病再住院率降低30%，全因再住院率下降12%,住院及死亡联合终点事件下降18%，因此，慢性病管理在心衰患者中发挥着重要作用。</w:t>
      </w:r>
    </w:p>
    <w:p w14:paraId="1AFE2D9D">
      <w:pPr>
        <w:ind w:firstLine="560" w:firstLineChars="200"/>
        <w:rPr>
          <w:rFonts w:ascii="Times New Roman"/>
          <w:sz w:val="28"/>
          <w:szCs w:val="28"/>
        </w:rPr>
      </w:pPr>
      <w:r>
        <w:rPr>
          <w:rFonts w:hint="eastAsia" w:ascii="Times New Roman"/>
          <w:sz w:val="28"/>
          <w:szCs w:val="28"/>
        </w:rPr>
        <w:t>慢病管理是指以生物-心理-社会医学模式为指导，组织专业慢病医师、护师及营养师等,为病人提供全面、连续、主动的管理,从而建立规范统一的模式。但由于受目前的医疗条件、地区差异、经济水平差距的影响，我国暂缺乏成熟的统一的慢性心力衰竭管理模式。各地区都在积极的探索。目前有组建的多学科、多地区共同参与的心衰中心慢病管理模式，也有社区医生主导模式。而中医“治未病”强调“未病先防”、“既病防变”、“瘥后防复”，与慢病管理注重积极预防理念相同，正逐步被广泛运用于慢性疾病的防治中。因此，探索出一种符合中国特色的中西医结合慢性心力衰竭患者慢病管理规范势在必行。</w:t>
      </w:r>
    </w:p>
    <w:p w14:paraId="114A79FE">
      <w:pPr>
        <w:ind w:firstLine="560" w:firstLineChars="200"/>
        <w:rPr>
          <w:rFonts w:ascii="Times New Roman"/>
          <w:sz w:val="28"/>
          <w:szCs w:val="28"/>
        </w:rPr>
      </w:pPr>
      <w:r>
        <w:rPr>
          <w:rFonts w:hint="eastAsia" w:ascii="Times New Roman"/>
          <w:sz w:val="28"/>
          <w:szCs w:val="28"/>
        </w:rPr>
        <w:t>本标准是在系统的慢性心力衰竭健康管理研究的基础上形成的，通过文献研究、专家咨询等途径，明确慢性心力衰竭中西医结合慢病管理的服务要求、管理程序、药物管理、非药物管理以及跟踪随访等内容，为标准化慢性心力衰竭中西医结合慢病管理提供规范和指导。</w:t>
      </w:r>
    </w:p>
    <w:p w14:paraId="1C85A299">
      <w:pPr>
        <w:rPr>
          <w:rFonts w:ascii="Times New Roman" w:hAnsi="Times New Roman"/>
          <w:sz w:val="28"/>
          <w:szCs w:val="28"/>
        </w:rPr>
      </w:pPr>
      <w:r>
        <w:rPr>
          <w:rFonts w:ascii="Times New Roman" w:hAnsi="Times New Roman"/>
          <w:sz w:val="28"/>
          <w:szCs w:val="28"/>
        </w:rPr>
        <w:t>3</w:t>
      </w:r>
      <w:r>
        <w:rPr>
          <w:rFonts w:hint="eastAsia" w:ascii="Times New Roman" w:hAnsi="Times New Roman"/>
          <w:sz w:val="28"/>
          <w:szCs w:val="28"/>
        </w:rPr>
        <w:t>、工作过程概况</w:t>
      </w:r>
    </w:p>
    <w:p w14:paraId="1D2D40DE">
      <w:pPr>
        <w:ind w:firstLine="560" w:firstLineChars="200"/>
        <w:rPr>
          <w:rFonts w:ascii="Times New Roman"/>
          <w:sz w:val="28"/>
          <w:szCs w:val="28"/>
        </w:rPr>
      </w:pPr>
      <w:r>
        <w:rPr>
          <w:rFonts w:hint="eastAsia" w:ascii="Times New Roman"/>
          <w:sz w:val="28"/>
          <w:szCs w:val="28"/>
        </w:rPr>
        <w:t>本项目由广东省中医药局提出。广东省中医院是本项目的主导单位，主要负责前期的文献回顾、国内外相关标准、指南和技术操作规范的收集；标准草案的编写；组织研讨会。本项目的参与单位中，南方医科大学南方医院张广清和滕中华负责专家意见征询，广东省人民医院林丽霞负责参与起草组专家研讨会提出“标准草案”修改建议，形成最终标准草案版本。接着，起草小组通过邮件、微信等方式分别发送给</w:t>
      </w:r>
      <w:r>
        <w:rPr>
          <w:rFonts w:hint="eastAsia" w:ascii="Times New Roman"/>
          <w:sz w:val="28"/>
          <w:szCs w:val="28"/>
          <w:lang w:val="en-US" w:eastAsia="zh-CN"/>
        </w:rPr>
        <w:t>57家单位</w:t>
      </w:r>
      <w:r>
        <w:rPr>
          <w:rFonts w:hint="eastAsia" w:ascii="Times New Roman"/>
          <w:sz w:val="28"/>
          <w:szCs w:val="28"/>
        </w:rPr>
        <w:t>进行省内外广泛专家意见咨询。并对收集完成专家征求意见进行整理。项目负责人主持召开标准讨论会，对专家意见进行讨论确定删减及增加标准内容。会后通过多轮修改、反馈，形成了标准最终版征求意见稿。</w:t>
      </w:r>
    </w:p>
    <w:p w14:paraId="2786DF35">
      <w:pPr>
        <w:spacing w:before="156" w:beforeLines="50" w:after="156" w:afterLines="50"/>
        <w:rPr>
          <w:rFonts w:ascii="黑体" w:hAnsi="黑体" w:eastAsia="黑体"/>
          <w:sz w:val="28"/>
          <w:szCs w:val="28"/>
        </w:rPr>
      </w:pPr>
      <w:r>
        <w:rPr>
          <w:rFonts w:ascii="黑体" w:hAnsi="黑体" w:eastAsia="黑体"/>
          <w:sz w:val="28"/>
          <w:szCs w:val="28"/>
        </w:rPr>
        <w:t>二、标准编制原则</w:t>
      </w:r>
    </w:p>
    <w:p w14:paraId="06D3BE6E">
      <w:pPr>
        <w:ind w:firstLine="560" w:firstLineChars="200"/>
        <w:rPr>
          <w:rFonts w:ascii="宋体" w:hAnsi="宋体"/>
          <w:sz w:val="28"/>
          <w:szCs w:val="28"/>
        </w:rPr>
      </w:pPr>
      <w:r>
        <w:rPr>
          <w:rFonts w:hint="eastAsia" w:ascii="宋体" w:hAnsi="宋体"/>
          <w:sz w:val="28"/>
          <w:szCs w:val="28"/>
        </w:rPr>
        <w:t>标准编制过程</w:t>
      </w:r>
      <w:r>
        <w:rPr>
          <w:rFonts w:ascii="宋体" w:hAnsi="宋体"/>
          <w:sz w:val="28"/>
          <w:szCs w:val="28"/>
        </w:rPr>
        <w:t>主要遵循</w:t>
      </w:r>
      <w:r>
        <w:rPr>
          <w:rFonts w:hint="eastAsia" w:ascii="宋体" w:hAnsi="宋体"/>
          <w:sz w:val="28"/>
          <w:szCs w:val="28"/>
        </w:rPr>
        <w:t>以下原则：</w:t>
      </w:r>
    </w:p>
    <w:p w14:paraId="675CBC45">
      <w:pPr>
        <w:ind w:firstLine="560" w:firstLineChars="200"/>
        <w:rPr>
          <w:rFonts w:ascii="宋体" w:hAnsi="宋体"/>
          <w:sz w:val="28"/>
          <w:szCs w:val="28"/>
        </w:rPr>
      </w:pPr>
      <w:r>
        <w:rPr>
          <w:rFonts w:hint="eastAsia" w:ascii="宋体" w:hAnsi="宋体"/>
          <w:sz w:val="28"/>
          <w:szCs w:val="28"/>
        </w:rPr>
        <w:t>1.规范性：根据GB/T 1.1-2009《标准化工作导则 第1部分：标准的结构和编写》的要求制订，结合中西医结合慢性心力衰竭学科特点，借鉴现有的健康管理技术标准报告规范，形成本标准的结构、主要内容。</w:t>
      </w:r>
    </w:p>
    <w:p w14:paraId="633A2981">
      <w:pPr>
        <w:ind w:firstLine="560" w:firstLineChars="200"/>
        <w:rPr>
          <w:rFonts w:ascii="宋体" w:hAnsi="宋体"/>
          <w:sz w:val="28"/>
          <w:szCs w:val="28"/>
        </w:rPr>
      </w:pPr>
      <w:r>
        <w:rPr>
          <w:rFonts w:hint="eastAsia" w:ascii="宋体" w:hAnsi="宋体"/>
          <w:sz w:val="28"/>
          <w:szCs w:val="28"/>
        </w:rPr>
        <w:t>2.科学性：在系统的文献研究基础上，通过专家咨询、调研等方法，整合现有的国内外资源信息，形成了既符合标准编制要求又具有行业特点的慢性心力衰竭中西医结合慢病管理规范。</w:t>
      </w:r>
    </w:p>
    <w:p w14:paraId="58C85F2E">
      <w:pPr>
        <w:ind w:firstLine="560" w:firstLineChars="200"/>
        <w:rPr>
          <w:rFonts w:ascii="宋体" w:hAnsi="宋体"/>
          <w:sz w:val="28"/>
          <w:szCs w:val="28"/>
        </w:rPr>
      </w:pPr>
      <w:r>
        <w:rPr>
          <w:rFonts w:hint="eastAsia" w:ascii="宋体" w:hAnsi="宋体"/>
          <w:sz w:val="28"/>
          <w:szCs w:val="28"/>
        </w:rPr>
        <w:t>3.实用性：本标准为慢性心力衰竭中西医结合慢病管理标准化工作的开展提供指导，可操作性强。</w:t>
      </w:r>
    </w:p>
    <w:p w14:paraId="61565325">
      <w:pPr>
        <w:spacing w:before="156" w:beforeLines="50" w:after="156" w:afterLines="50"/>
        <w:rPr>
          <w:rFonts w:ascii="黑体" w:hAnsi="黑体" w:eastAsia="黑体"/>
          <w:sz w:val="28"/>
          <w:szCs w:val="28"/>
        </w:rPr>
      </w:pPr>
      <w:r>
        <w:rPr>
          <w:rFonts w:hint="eastAsia" w:ascii="黑体" w:hAnsi="黑体" w:eastAsia="黑体"/>
          <w:sz w:val="28"/>
          <w:szCs w:val="28"/>
        </w:rPr>
        <w:t>三、</w:t>
      </w:r>
      <w:r>
        <w:rPr>
          <w:rFonts w:ascii="黑体" w:hAnsi="黑体" w:eastAsia="黑体"/>
          <w:sz w:val="28"/>
          <w:szCs w:val="28"/>
        </w:rPr>
        <w:t>标准框架、主要内容及其确定依据</w:t>
      </w:r>
    </w:p>
    <w:p w14:paraId="18A25BFE">
      <w:pPr>
        <w:spacing w:after="156" w:afterLines="50"/>
        <w:ind w:firstLine="560" w:firstLineChars="200"/>
        <w:rPr>
          <w:rFonts w:ascii="宋体" w:hAnsi="宋体"/>
          <w:sz w:val="28"/>
          <w:szCs w:val="28"/>
        </w:rPr>
      </w:pPr>
      <w:r>
        <w:rPr>
          <w:rFonts w:hint="eastAsia" w:ascii="宋体" w:hAnsi="宋体"/>
          <w:sz w:val="28"/>
          <w:szCs w:val="28"/>
        </w:rPr>
        <w:t>标准主要技术内容见表1。</w:t>
      </w:r>
    </w:p>
    <w:p w14:paraId="469C1731">
      <w:pPr>
        <w:spacing w:line="360" w:lineRule="auto"/>
        <w:jc w:val="center"/>
        <w:rPr>
          <w:rFonts w:ascii="Times New Roman" w:hAnsi="Times New Roman"/>
          <w:sz w:val="24"/>
        </w:rPr>
      </w:pPr>
      <w:r>
        <w:rPr>
          <w:rFonts w:hint="eastAsia" w:ascii="Times New Roman" w:hAnsi="Times New Roman"/>
          <w:sz w:val="24"/>
        </w:rPr>
        <w:t>表1</w:t>
      </w:r>
      <w:r>
        <w:rPr>
          <w:rFonts w:ascii="Times New Roman" w:hAnsi="Times New Roman"/>
          <w:sz w:val="24"/>
        </w:rPr>
        <w:t xml:space="preserve"> </w:t>
      </w:r>
      <w:r>
        <w:rPr>
          <w:rFonts w:hint="eastAsia" w:ascii="Times New Roman" w:hAnsi="Times New Roman"/>
          <w:sz w:val="24"/>
        </w:rPr>
        <w:t>标准主要技术内容</w:t>
      </w:r>
    </w:p>
    <w:tbl>
      <w:tblPr>
        <w:tblStyle w:val="6"/>
        <w:tblW w:w="488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4"/>
        <w:gridCol w:w="6805"/>
      </w:tblGrid>
      <w:tr w14:paraId="5EA2F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38C605FE">
            <w:pPr>
              <w:spacing w:line="360" w:lineRule="auto"/>
              <w:jc w:val="center"/>
              <w:rPr>
                <w:rFonts w:ascii="Times New Roman" w:hAnsi="Times New Roman" w:eastAsia="黑体"/>
                <w:sz w:val="24"/>
              </w:rPr>
            </w:pPr>
            <w:r>
              <w:rPr>
                <w:rFonts w:hint="eastAsia" w:ascii="Times New Roman" w:hAnsi="Times New Roman" w:eastAsia="黑体"/>
                <w:sz w:val="24"/>
              </w:rPr>
              <w:t>章条编号</w:t>
            </w:r>
          </w:p>
        </w:tc>
        <w:tc>
          <w:tcPr>
            <w:tcW w:w="4085" w:type="pct"/>
            <w:vAlign w:val="center"/>
          </w:tcPr>
          <w:p w14:paraId="2A8062BF">
            <w:pPr>
              <w:spacing w:line="360" w:lineRule="auto"/>
              <w:jc w:val="center"/>
              <w:rPr>
                <w:rFonts w:ascii="Times New Roman" w:hAnsi="Times New Roman" w:eastAsia="黑体"/>
                <w:sz w:val="24"/>
              </w:rPr>
            </w:pPr>
            <w:r>
              <w:rPr>
                <w:rFonts w:hint="eastAsia" w:ascii="Times New Roman" w:hAnsi="Times New Roman" w:eastAsia="黑体"/>
                <w:sz w:val="24"/>
              </w:rPr>
              <w:t>标题</w:t>
            </w:r>
          </w:p>
        </w:tc>
      </w:tr>
      <w:tr w14:paraId="5D600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06D75C60">
            <w:pPr>
              <w:spacing w:line="360" w:lineRule="auto"/>
              <w:jc w:val="center"/>
              <w:rPr>
                <w:rFonts w:ascii="Times New Roman" w:hAnsi="Times New Roman"/>
                <w:sz w:val="24"/>
              </w:rPr>
            </w:pPr>
            <w:r>
              <w:rPr>
                <w:rFonts w:hint="eastAsia" w:ascii="Times New Roman" w:hAnsi="Times New Roman"/>
                <w:sz w:val="24"/>
              </w:rPr>
              <w:t>1</w:t>
            </w:r>
          </w:p>
        </w:tc>
        <w:tc>
          <w:tcPr>
            <w:tcW w:w="4085" w:type="pct"/>
          </w:tcPr>
          <w:p w14:paraId="3A4CBC39">
            <w:pPr>
              <w:spacing w:line="360" w:lineRule="auto"/>
              <w:rPr>
                <w:rFonts w:ascii="Times New Roman" w:hAnsi="Times New Roman"/>
                <w:sz w:val="24"/>
              </w:rPr>
            </w:pPr>
            <w:r>
              <w:rPr>
                <w:rFonts w:hint="eastAsia" w:ascii="Times New Roman" w:hAnsi="Times New Roman"/>
                <w:sz w:val="24"/>
              </w:rPr>
              <w:t>范围</w:t>
            </w:r>
          </w:p>
        </w:tc>
      </w:tr>
      <w:tr w14:paraId="6ACFB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0589E633">
            <w:pPr>
              <w:spacing w:line="360" w:lineRule="auto"/>
              <w:jc w:val="center"/>
              <w:rPr>
                <w:rFonts w:ascii="Times New Roman" w:hAnsi="Times New Roman"/>
                <w:sz w:val="24"/>
              </w:rPr>
            </w:pPr>
            <w:r>
              <w:rPr>
                <w:rFonts w:hint="eastAsia" w:ascii="Times New Roman" w:hAnsi="Times New Roman"/>
                <w:sz w:val="24"/>
              </w:rPr>
              <w:t>2</w:t>
            </w:r>
          </w:p>
        </w:tc>
        <w:tc>
          <w:tcPr>
            <w:tcW w:w="4085" w:type="pct"/>
          </w:tcPr>
          <w:p w14:paraId="5D30E526">
            <w:pPr>
              <w:spacing w:line="360" w:lineRule="auto"/>
              <w:rPr>
                <w:rFonts w:ascii="Times New Roman" w:hAnsi="Times New Roman"/>
                <w:sz w:val="24"/>
              </w:rPr>
            </w:pPr>
            <w:r>
              <w:rPr>
                <w:rFonts w:hint="eastAsia" w:ascii="Times New Roman" w:hAnsi="Times New Roman"/>
                <w:sz w:val="24"/>
              </w:rPr>
              <w:t>规范性引用文件</w:t>
            </w:r>
          </w:p>
        </w:tc>
      </w:tr>
      <w:tr w14:paraId="69A41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3C185442">
            <w:pPr>
              <w:spacing w:line="360" w:lineRule="auto"/>
              <w:jc w:val="center"/>
              <w:rPr>
                <w:rFonts w:ascii="Times New Roman" w:hAnsi="Times New Roman"/>
                <w:sz w:val="24"/>
              </w:rPr>
            </w:pPr>
            <w:r>
              <w:rPr>
                <w:rFonts w:hint="eastAsia" w:ascii="Times New Roman" w:hAnsi="Times New Roman"/>
                <w:sz w:val="24"/>
              </w:rPr>
              <w:t>3</w:t>
            </w:r>
          </w:p>
        </w:tc>
        <w:tc>
          <w:tcPr>
            <w:tcW w:w="4085" w:type="pct"/>
          </w:tcPr>
          <w:p w14:paraId="3E875C4B">
            <w:pPr>
              <w:spacing w:line="360" w:lineRule="auto"/>
              <w:rPr>
                <w:rFonts w:ascii="Times New Roman" w:hAnsi="Times New Roman"/>
                <w:sz w:val="24"/>
              </w:rPr>
            </w:pPr>
            <w:r>
              <w:rPr>
                <w:rFonts w:hint="eastAsia" w:ascii="Times New Roman" w:hAnsi="Times New Roman"/>
                <w:sz w:val="24"/>
              </w:rPr>
              <w:t>术语和定义</w:t>
            </w:r>
          </w:p>
        </w:tc>
      </w:tr>
      <w:tr w14:paraId="410C6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40126636">
            <w:pPr>
              <w:spacing w:line="360" w:lineRule="auto"/>
              <w:jc w:val="center"/>
              <w:rPr>
                <w:rFonts w:ascii="Times New Roman" w:hAnsi="Times New Roman"/>
                <w:sz w:val="24"/>
              </w:rPr>
            </w:pPr>
            <w:r>
              <w:rPr>
                <w:rFonts w:hint="eastAsia" w:ascii="Times New Roman" w:hAnsi="Times New Roman"/>
                <w:sz w:val="24"/>
              </w:rPr>
              <w:t>4</w:t>
            </w:r>
          </w:p>
        </w:tc>
        <w:tc>
          <w:tcPr>
            <w:tcW w:w="4085" w:type="pct"/>
          </w:tcPr>
          <w:p w14:paraId="32486BB9">
            <w:pPr>
              <w:spacing w:line="360" w:lineRule="auto"/>
              <w:rPr>
                <w:rFonts w:ascii="Times New Roman" w:hAnsi="Times New Roman"/>
                <w:sz w:val="24"/>
              </w:rPr>
            </w:pPr>
            <w:r>
              <w:rPr>
                <w:rFonts w:hint="eastAsia" w:ascii="Times New Roman" w:hAnsi="Times New Roman"/>
                <w:sz w:val="24"/>
              </w:rPr>
              <w:t>服务要求</w:t>
            </w:r>
          </w:p>
        </w:tc>
      </w:tr>
      <w:tr w14:paraId="6DA9D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tcPr>
          <w:p w14:paraId="518778FD">
            <w:pPr>
              <w:spacing w:line="360" w:lineRule="auto"/>
              <w:jc w:val="center"/>
              <w:rPr>
                <w:rFonts w:ascii="Times New Roman" w:hAnsi="Times New Roman"/>
                <w:sz w:val="24"/>
              </w:rPr>
            </w:pPr>
            <w:r>
              <w:rPr>
                <w:rFonts w:hint="eastAsia" w:ascii="Times New Roman" w:hAnsi="Times New Roman"/>
                <w:sz w:val="24"/>
              </w:rPr>
              <w:t>5</w:t>
            </w:r>
          </w:p>
        </w:tc>
        <w:tc>
          <w:tcPr>
            <w:tcW w:w="4085" w:type="pct"/>
          </w:tcPr>
          <w:p w14:paraId="78F2C0BC">
            <w:pPr>
              <w:spacing w:line="360" w:lineRule="auto"/>
              <w:rPr>
                <w:rFonts w:ascii="Times New Roman" w:hAnsi="Times New Roman"/>
                <w:sz w:val="24"/>
              </w:rPr>
            </w:pPr>
            <w:r>
              <w:rPr>
                <w:rFonts w:hint="eastAsia" w:ascii="Times New Roman" w:hAnsi="Times New Roman"/>
                <w:sz w:val="24"/>
              </w:rPr>
              <w:t>中西医结合慢病管理程序</w:t>
            </w:r>
          </w:p>
        </w:tc>
      </w:tr>
      <w:tr w14:paraId="22A3E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72FB86BE">
            <w:pPr>
              <w:spacing w:line="360" w:lineRule="auto"/>
              <w:jc w:val="center"/>
              <w:rPr>
                <w:rFonts w:ascii="Times New Roman" w:hAnsi="Times New Roman"/>
                <w:sz w:val="24"/>
              </w:rPr>
            </w:pPr>
            <w:r>
              <w:rPr>
                <w:rFonts w:hint="eastAsia" w:ascii="Times New Roman" w:hAnsi="Times New Roman"/>
                <w:sz w:val="24"/>
              </w:rPr>
              <w:t>6</w:t>
            </w:r>
          </w:p>
        </w:tc>
        <w:tc>
          <w:tcPr>
            <w:tcW w:w="4085" w:type="pct"/>
          </w:tcPr>
          <w:p w14:paraId="10EC9600">
            <w:pPr>
              <w:spacing w:line="360" w:lineRule="auto"/>
              <w:rPr>
                <w:rFonts w:ascii="Times New Roman" w:hAnsi="Times New Roman"/>
                <w:sz w:val="24"/>
              </w:rPr>
            </w:pPr>
            <w:r>
              <w:rPr>
                <w:rFonts w:hint="eastAsia" w:ascii="Times New Roman" w:hAnsi="Times New Roman"/>
                <w:sz w:val="24"/>
              </w:rPr>
              <w:t>慢性心力衰竭中西医结合慢病管理</w:t>
            </w:r>
          </w:p>
        </w:tc>
      </w:tr>
      <w:tr w14:paraId="0BC3E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402E4DCE">
            <w:pPr>
              <w:spacing w:line="360" w:lineRule="auto"/>
              <w:jc w:val="center"/>
              <w:rPr>
                <w:rFonts w:ascii="Times New Roman" w:hAnsi="Times New Roman"/>
                <w:sz w:val="24"/>
              </w:rPr>
            </w:pPr>
            <w:r>
              <w:rPr>
                <w:rFonts w:hint="eastAsia" w:ascii="Times New Roman" w:hAnsi="Times New Roman"/>
                <w:sz w:val="24"/>
              </w:rPr>
              <w:t>6.1</w:t>
            </w:r>
          </w:p>
        </w:tc>
        <w:tc>
          <w:tcPr>
            <w:tcW w:w="4085" w:type="pct"/>
          </w:tcPr>
          <w:p w14:paraId="5A69A0E3">
            <w:pPr>
              <w:spacing w:line="360" w:lineRule="auto"/>
              <w:rPr>
                <w:rFonts w:ascii="Times New Roman" w:hAnsi="Times New Roman"/>
                <w:sz w:val="24"/>
              </w:rPr>
            </w:pPr>
            <w:r>
              <w:rPr>
                <w:rFonts w:hint="eastAsia" w:ascii="Times New Roman" w:hAnsi="Times New Roman"/>
                <w:sz w:val="24"/>
              </w:rPr>
              <w:t>常用药物的管理</w:t>
            </w:r>
          </w:p>
        </w:tc>
      </w:tr>
      <w:tr w14:paraId="19150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26D6DAB0">
            <w:pPr>
              <w:spacing w:line="360" w:lineRule="auto"/>
              <w:jc w:val="center"/>
              <w:rPr>
                <w:rFonts w:ascii="Times New Roman" w:hAnsi="Times New Roman"/>
                <w:sz w:val="24"/>
              </w:rPr>
            </w:pPr>
            <w:r>
              <w:rPr>
                <w:rFonts w:hint="eastAsia" w:ascii="Times New Roman" w:hAnsi="Times New Roman"/>
                <w:sz w:val="24"/>
              </w:rPr>
              <w:t>6.2</w:t>
            </w:r>
          </w:p>
        </w:tc>
        <w:tc>
          <w:tcPr>
            <w:tcW w:w="4085" w:type="pct"/>
          </w:tcPr>
          <w:p w14:paraId="7CDC5E12">
            <w:pPr>
              <w:spacing w:line="360" w:lineRule="auto"/>
              <w:rPr>
                <w:rFonts w:ascii="Times New Roman" w:hAnsi="Times New Roman"/>
                <w:sz w:val="24"/>
              </w:rPr>
            </w:pPr>
            <w:r>
              <w:rPr>
                <w:rFonts w:hint="eastAsia" w:ascii="Times New Roman" w:hAnsi="Times New Roman"/>
                <w:sz w:val="24"/>
              </w:rPr>
              <w:t>非药物管理</w:t>
            </w:r>
          </w:p>
        </w:tc>
      </w:tr>
      <w:tr w14:paraId="6F2DE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5" w:type="pct"/>
            <w:vAlign w:val="center"/>
          </w:tcPr>
          <w:p w14:paraId="2E43A30E">
            <w:pPr>
              <w:spacing w:line="360" w:lineRule="auto"/>
              <w:rPr>
                <w:rFonts w:ascii="Times New Roman" w:hAnsi="Times New Roman"/>
                <w:sz w:val="24"/>
              </w:rPr>
            </w:pPr>
            <w:r>
              <w:rPr>
                <w:rFonts w:hint="eastAsia" w:ascii="Times New Roman" w:hAnsi="Times New Roman"/>
                <w:sz w:val="24"/>
              </w:rPr>
              <w:t xml:space="preserve">    6.3</w:t>
            </w:r>
          </w:p>
        </w:tc>
        <w:tc>
          <w:tcPr>
            <w:tcW w:w="4085" w:type="pct"/>
          </w:tcPr>
          <w:p w14:paraId="6CD1942E">
            <w:pPr>
              <w:spacing w:line="360" w:lineRule="auto"/>
              <w:rPr>
                <w:rFonts w:ascii="宋体" w:hAnsi="宋体" w:cs="宋体"/>
                <w:sz w:val="24"/>
              </w:rPr>
            </w:pPr>
            <w:r>
              <w:rPr>
                <w:rFonts w:hint="eastAsia" w:ascii="宋体" w:hAnsi="宋体" w:cs="宋体"/>
                <w:sz w:val="24"/>
              </w:rPr>
              <w:t>跟踪随访</w:t>
            </w:r>
          </w:p>
        </w:tc>
      </w:tr>
    </w:tbl>
    <w:p w14:paraId="2C2CB184">
      <w:pPr>
        <w:pStyle w:val="5"/>
        <w:shd w:val="clear" w:color="auto" w:fill="FFFFFF"/>
        <w:spacing w:before="75" w:beforeAutospacing="0" w:after="75" w:afterAutospacing="0"/>
        <w:ind w:firstLine="560" w:firstLineChars="200"/>
        <w:jc w:val="both"/>
        <w:rPr>
          <w:sz w:val="28"/>
          <w:szCs w:val="28"/>
        </w:rPr>
      </w:pPr>
      <w:r>
        <w:rPr>
          <w:rFonts w:hint="eastAsia"/>
          <w:sz w:val="28"/>
          <w:szCs w:val="28"/>
        </w:rPr>
        <w:t>本标准的确定依据按照GB/T 1.1—2020《标准化工作导则 第1部分：标准化文件的结构和起草规则》的规定起草。</w:t>
      </w:r>
    </w:p>
    <w:p w14:paraId="05DC7AFB">
      <w:pPr>
        <w:numPr>
          <w:ilvl w:val="0"/>
          <w:numId w:val="2"/>
        </w:numPr>
        <w:spacing w:before="156" w:beforeLines="50" w:after="156" w:afterLines="50"/>
        <w:rPr>
          <w:rFonts w:ascii="黑体" w:hAnsi="黑体" w:eastAsia="黑体"/>
          <w:sz w:val="28"/>
          <w:szCs w:val="28"/>
        </w:rPr>
      </w:pPr>
      <w:r>
        <w:rPr>
          <w:rFonts w:ascii="黑体" w:hAnsi="黑体" w:eastAsia="黑体"/>
          <w:sz w:val="28"/>
          <w:szCs w:val="28"/>
        </w:rPr>
        <w:t>标准有何先进性或特色性</w:t>
      </w:r>
    </w:p>
    <w:p w14:paraId="61BAB426">
      <w:pPr>
        <w:spacing w:before="156" w:beforeLines="50" w:after="156" w:afterLines="50"/>
        <w:rPr>
          <w:rFonts w:ascii="宋体" w:hAnsi="宋体" w:cs="宋体"/>
          <w:kern w:val="0"/>
          <w:sz w:val="28"/>
          <w:szCs w:val="28"/>
        </w:rPr>
      </w:pPr>
      <w:r>
        <w:rPr>
          <w:rFonts w:hint="eastAsia" w:ascii="宋体" w:hAnsi="宋体" w:cs="宋体"/>
          <w:kern w:val="0"/>
          <w:sz w:val="28"/>
          <w:szCs w:val="28"/>
        </w:rPr>
        <w:t xml:space="preserve">  本标准具有以下特色：</w:t>
      </w:r>
    </w:p>
    <w:p w14:paraId="1F9CF165">
      <w:pPr>
        <w:pStyle w:val="5"/>
        <w:shd w:val="clear" w:color="auto" w:fill="FFFFFF"/>
        <w:spacing w:before="75" w:beforeAutospacing="0" w:after="75" w:afterAutospacing="0"/>
        <w:ind w:firstLine="560" w:firstLineChars="200"/>
        <w:jc w:val="both"/>
        <w:rPr>
          <w:sz w:val="28"/>
          <w:szCs w:val="28"/>
        </w:rPr>
      </w:pPr>
      <w:r>
        <w:rPr>
          <w:rFonts w:hint="eastAsia"/>
          <w:sz w:val="28"/>
          <w:szCs w:val="28"/>
        </w:rPr>
        <w:t>1、紧跟国内外前沿，基于现代心脏康复的理念，从中西医结合的角度，明确了慢病管理的主要方法和内容，体现了中西医优势互补，有助于提高慢病管理的成效，从而确保其临床操作性和适用性。</w:t>
      </w:r>
    </w:p>
    <w:p w14:paraId="738FFD78">
      <w:pPr>
        <w:pStyle w:val="5"/>
        <w:shd w:val="clear" w:color="auto" w:fill="FFFFFF"/>
        <w:spacing w:before="75" w:beforeAutospacing="0" w:after="75" w:afterAutospacing="0"/>
        <w:ind w:firstLine="560" w:firstLineChars="200"/>
        <w:jc w:val="both"/>
        <w:rPr>
          <w:sz w:val="28"/>
          <w:szCs w:val="28"/>
        </w:rPr>
      </w:pPr>
      <w:r>
        <w:rPr>
          <w:rFonts w:hint="eastAsia"/>
          <w:sz w:val="28"/>
          <w:szCs w:val="28"/>
        </w:rPr>
        <w:t>2、以文献研究为基础，结合专家意见调研，运用循证医学的方法对文献进行分析，为本标准提供循证依据。</w:t>
      </w:r>
    </w:p>
    <w:p w14:paraId="6274E67C">
      <w:pPr>
        <w:spacing w:before="156" w:beforeLines="50" w:after="156" w:afterLines="50"/>
        <w:rPr>
          <w:rFonts w:ascii="黑体" w:hAnsi="黑体" w:eastAsia="黑体"/>
          <w:sz w:val="28"/>
          <w:szCs w:val="28"/>
        </w:rPr>
      </w:pPr>
      <w:r>
        <w:rPr>
          <w:rFonts w:hint="eastAsia" w:ascii="黑体" w:hAnsi="黑体" w:eastAsia="黑体"/>
          <w:sz w:val="28"/>
          <w:szCs w:val="28"/>
        </w:rPr>
        <w:t>五</w:t>
      </w:r>
      <w:r>
        <w:rPr>
          <w:rFonts w:ascii="黑体" w:hAnsi="黑体" w:eastAsia="黑体"/>
          <w:sz w:val="28"/>
          <w:szCs w:val="28"/>
        </w:rPr>
        <w:t>、标准调研、研讨、征求意见情况</w:t>
      </w:r>
    </w:p>
    <w:p w14:paraId="20393B98">
      <w:pPr>
        <w:ind w:firstLine="560" w:firstLineChars="200"/>
        <w:rPr>
          <w:rFonts w:ascii="宋体" w:hAnsi="宋体"/>
          <w:sz w:val="28"/>
          <w:szCs w:val="28"/>
        </w:rPr>
      </w:pPr>
      <w:r>
        <w:rPr>
          <w:rFonts w:hint="eastAsia" w:ascii="宋体" w:hAnsi="宋体"/>
          <w:sz w:val="28"/>
          <w:szCs w:val="28"/>
        </w:rPr>
        <w:t>（一）成立标准起草小组，制定工作方案</w:t>
      </w:r>
    </w:p>
    <w:p w14:paraId="72AF7B64">
      <w:pPr>
        <w:ind w:firstLine="560" w:firstLineChars="200"/>
        <w:rPr>
          <w:rFonts w:ascii="宋体" w:hAnsi="宋体"/>
          <w:sz w:val="28"/>
          <w:szCs w:val="28"/>
        </w:rPr>
      </w:pPr>
      <w:r>
        <w:rPr>
          <w:rFonts w:hint="eastAsia" w:ascii="宋体" w:hAnsi="宋体"/>
          <w:sz w:val="28"/>
          <w:szCs w:val="28"/>
        </w:rPr>
        <w:t>2022年11月，成立标准起草小组，制定标准编制工作方案和进度安排表，开始标准的起草工作。</w:t>
      </w:r>
    </w:p>
    <w:p w14:paraId="0EC40790">
      <w:pPr>
        <w:numPr>
          <w:ilvl w:val="0"/>
          <w:numId w:val="3"/>
        </w:numPr>
        <w:ind w:firstLine="560" w:firstLineChars="200"/>
        <w:rPr>
          <w:rFonts w:ascii="宋体" w:hAnsi="宋体"/>
          <w:sz w:val="28"/>
          <w:szCs w:val="28"/>
        </w:rPr>
      </w:pPr>
      <w:r>
        <w:rPr>
          <w:rFonts w:hint="eastAsia" w:ascii="宋体" w:hAnsi="宋体"/>
          <w:sz w:val="28"/>
          <w:szCs w:val="28"/>
        </w:rPr>
        <w:t>收集相关资料</w:t>
      </w:r>
    </w:p>
    <w:p w14:paraId="23FBC6DC">
      <w:pPr>
        <w:ind w:firstLine="560" w:firstLineChars="200"/>
        <w:rPr>
          <w:rFonts w:ascii="宋体" w:hAnsi="宋体"/>
          <w:sz w:val="28"/>
          <w:szCs w:val="28"/>
        </w:rPr>
      </w:pPr>
      <w:r>
        <w:rPr>
          <w:rFonts w:hint="eastAsia" w:ascii="宋体" w:hAnsi="宋体"/>
          <w:sz w:val="28"/>
          <w:szCs w:val="28"/>
        </w:rPr>
        <w:t>起草小组为确保本标准的科学性和实用性，针对中医温热疗法规范标准的相关问题，开展了一系列资料收集与调研工作：</w:t>
      </w:r>
    </w:p>
    <w:p w14:paraId="4665F3B0">
      <w:pPr>
        <w:ind w:firstLine="560" w:firstLineChars="200"/>
        <w:rPr>
          <w:rFonts w:ascii="宋体" w:hAnsi="宋体"/>
          <w:sz w:val="28"/>
          <w:szCs w:val="28"/>
        </w:rPr>
      </w:pPr>
      <w:r>
        <w:rPr>
          <w:rFonts w:hint="eastAsia" w:ascii="宋体" w:hAnsi="宋体"/>
          <w:sz w:val="28"/>
          <w:szCs w:val="28"/>
        </w:rPr>
        <w:t>1、资料收集：搜集了与慢性心力衰竭慢病管理相关的国家标准、行业标准和地方标准，建立参考资料库。</w:t>
      </w:r>
    </w:p>
    <w:p w14:paraId="7B66F3D2">
      <w:pPr>
        <w:ind w:firstLine="560" w:firstLineChars="200"/>
        <w:rPr>
          <w:rFonts w:ascii="宋体" w:hAnsi="宋体"/>
          <w:sz w:val="28"/>
          <w:szCs w:val="28"/>
        </w:rPr>
      </w:pPr>
      <w:r>
        <w:rPr>
          <w:rFonts w:hint="eastAsia" w:ascii="宋体" w:hAnsi="宋体"/>
          <w:sz w:val="28"/>
          <w:szCs w:val="28"/>
        </w:rPr>
        <w:t>2、文献检索：进行了广泛的文献检索，涵盖了国内外指南网、数据库和专业书籍等，以获取深度信息。</w:t>
      </w:r>
    </w:p>
    <w:p w14:paraId="67EC6A82">
      <w:pPr>
        <w:ind w:firstLine="560" w:firstLineChars="200"/>
        <w:rPr>
          <w:rFonts w:ascii="宋体" w:hAnsi="宋体"/>
          <w:sz w:val="28"/>
          <w:szCs w:val="28"/>
        </w:rPr>
      </w:pPr>
      <w:r>
        <w:rPr>
          <w:rFonts w:hint="eastAsia" w:ascii="宋体" w:hAnsi="宋体"/>
          <w:sz w:val="28"/>
          <w:szCs w:val="28"/>
        </w:rPr>
        <w:t>3、系统研究：对收集到的指南、共识和文献进行质量评价，以获得最佳证据总结。</w:t>
      </w:r>
    </w:p>
    <w:p w14:paraId="7E8BE031">
      <w:pPr>
        <w:ind w:firstLine="560" w:firstLineChars="200"/>
        <w:rPr>
          <w:rFonts w:ascii="宋体" w:hAnsi="宋体"/>
          <w:sz w:val="28"/>
          <w:szCs w:val="28"/>
        </w:rPr>
      </w:pPr>
      <w:r>
        <w:rPr>
          <w:rFonts w:hint="eastAsia" w:ascii="宋体" w:hAnsi="宋体"/>
          <w:sz w:val="28"/>
          <w:szCs w:val="28"/>
        </w:rPr>
        <w:t>（三）征求意见情况</w:t>
      </w:r>
    </w:p>
    <w:p w14:paraId="1E2FCDBA">
      <w:pPr>
        <w:ind w:firstLine="840" w:firstLineChars="300"/>
        <w:rPr>
          <w:rFonts w:ascii="宋体" w:hAnsi="宋体"/>
          <w:sz w:val="28"/>
          <w:szCs w:val="28"/>
        </w:rPr>
      </w:pPr>
      <w:r>
        <w:rPr>
          <w:rFonts w:hint="eastAsia" w:ascii="宋体" w:hAnsi="宋体"/>
          <w:sz w:val="28"/>
          <w:szCs w:val="28"/>
        </w:rPr>
        <w:t>第一次专家咨询（2023.4～2023.5）：征求7家单位相关专家建议，其中3家单位专家提出运动管理中，对运动管理提出问题，有关心功能Ⅳ级的患者能否进行有氧运动，以及补充其他的运动类型和运动强度、频率和时间等工作组再次查阅相关资料，按专家建议增加相关内容。</w:t>
      </w:r>
    </w:p>
    <w:p w14:paraId="7A51208F">
      <w:pPr>
        <w:ind w:firstLine="840" w:firstLineChars="300"/>
        <w:rPr>
          <w:rFonts w:ascii="宋体" w:hAnsi="宋体"/>
          <w:sz w:val="28"/>
          <w:szCs w:val="28"/>
        </w:rPr>
      </w:pPr>
      <w:r>
        <w:rPr>
          <w:rFonts w:hint="eastAsia" w:ascii="宋体" w:hAnsi="宋体"/>
          <w:sz w:val="28"/>
          <w:szCs w:val="28"/>
        </w:rPr>
        <w:t>第二次专家咨询（2023.6～2024.10）：征求</w:t>
      </w:r>
      <w:r>
        <w:rPr>
          <w:rFonts w:hint="eastAsia" w:ascii="宋体" w:hAnsi="宋体"/>
          <w:sz w:val="28"/>
          <w:szCs w:val="28"/>
          <w:lang w:val="en-US" w:eastAsia="zh-CN"/>
        </w:rPr>
        <w:t>50</w:t>
      </w:r>
      <w:r>
        <w:rPr>
          <w:rFonts w:hint="eastAsia" w:ascii="宋体" w:hAnsi="宋体"/>
          <w:sz w:val="28"/>
          <w:szCs w:val="28"/>
        </w:rPr>
        <w:t>家单位相关专家建议，意见主要集中在用药管理、饮食管理、运动管理、出入量管理、症状管理5个方面，其中用药护理中有专家提出漏服药物的是否补服的引导，饮食管理中重度低钠血症中钠含量的界定、运动管理中的运动评估、增加出入量统计相关内容、呼吸困难中的氧疗的用法等。以及有关以上建议工作组均再次查阅相关资料，开专题会议讨论后，修改完善或未修改处予以说明原因。总共有内容意见数</w:t>
      </w:r>
      <w:r>
        <w:rPr>
          <w:rFonts w:hint="eastAsia" w:ascii="宋体" w:hAnsi="宋体"/>
          <w:sz w:val="28"/>
          <w:szCs w:val="28"/>
          <w:lang w:val="en-US" w:eastAsia="zh-CN"/>
        </w:rPr>
        <w:t>80</w:t>
      </w:r>
      <w:r>
        <w:rPr>
          <w:rFonts w:hint="eastAsia" w:ascii="宋体" w:hAnsi="宋体"/>
          <w:sz w:val="28"/>
          <w:szCs w:val="28"/>
        </w:rPr>
        <w:t>条，其中采纳</w:t>
      </w:r>
      <w:r>
        <w:rPr>
          <w:rFonts w:hint="eastAsia" w:ascii="宋体" w:hAnsi="宋体"/>
          <w:sz w:val="28"/>
          <w:szCs w:val="28"/>
          <w:lang w:val="en-US" w:eastAsia="zh-CN"/>
        </w:rPr>
        <w:t>60</w:t>
      </w:r>
      <w:r>
        <w:rPr>
          <w:rFonts w:hint="eastAsia" w:ascii="宋体" w:hAnsi="宋体"/>
          <w:sz w:val="28"/>
          <w:szCs w:val="28"/>
        </w:rPr>
        <w:t>条，部分采纳</w:t>
      </w:r>
      <w:r>
        <w:rPr>
          <w:rFonts w:hint="eastAsia" w:ascii="宋体" w:hAnsi="宋体"/>
          <w:sz w:val="28"/>
          <w:szCs w:val="28"/>
          <w:lang w:val="en-US" w:eastAsia="zh-CN"/>
        </w:rPr>
        <w:t>6</w:t>
      </w:r>
      <w:r>
        <w:rPr>
          <w:rFonts w:hint="eastAsia" w:ascii="宋体" w:hAnsi="宋体"/>
          <w:sz w:val="28"/>
          <w:szCs w:val="28"/>
        </w:rPr>
        <w:t>条，不采纳</w:t>
      </w:r>
      <w:r>
        <w:rPr>
          <w:rFonts w:hint="eastAsia" w:ascii="宋体" w:hAnsi="宋体"/>
          <w:sz w:val="28"/>
          <w:szCs w:val="28"/>
          <w:lang w:val="en-US" w:eastAsia="zh-CN"/>
        </w:rPr>
        <w:t>14</w:t>
      </w:r>
      <w:bookmarkStart w:id="0" w:name="_GoBack"/>
      <w:bookmarkEnd w:id="0"/>
      <w:r>
        <w:rPr>
          <w:rFonts w:hint="eastAsia" w:ascii="宋体" w:hAnsi="宋体"/>
          <w:sz w:val="28"/>
          <w:szCs w:val="28"/>
        </w:rPr>
        <w:t>条。</w:t>
      </w:r>
    </w:p>
    <w:p w14:paraId="0B47EA79">
      <w:pPr>
        <w:spacing w:before="156" w:beforeLines="50" w:after="156" w:afterLines="50"/>
        <w:rPr>
          <w:rFonts w:ascii="黑体" w:hAnsi="黑体" w:eastAsia="黑体"/>
          <w:sz w:val="28"/>
          <w:szCs w:val="28"/>
        </w:rPr>
      </w:pPr>
      <w:r>
        <w:rPr>
          <w:rFonts w:hint="eastAsia" w:ascii="黑体" w:hAnsi="黑体" w:eastAsia="黑体"/>
          <w:sz w:val="28"/>
          <w:szCs w:val="28"/>
        </w:rPr>
        <w:t>六、</w:t>
      </w:r>
      <w:r>
        <w:rPr>
          <w:rFonts w:ascii="黑体" w:hAnsi="黑体" w:eastAsia="黑体"/>
          <w:sz w:val="28"/>
          <w:szCs w:val="28"/>
        </w:rPr>
        <w:t>技术指标设置的科学性和可行性</w:t>
      </w:r>
    </w:p>
    <w:p w14:paraId="0C5C5A95">
      <w:pPr>
        <w:ind w:firstLine="560" w:firstLineChars="200"/>
        <w:rPr>
          <w:rFonts w:ascii="宋体" w:hAnsi="宋体"/>
          <w:sz w:val="28"/>
          <w:szCs w:val="28"/>
        </w:rPr>
      </w:pPr>
      <w:r>
        <w:rPr>
          <w:rFonts w:hint="eastAsia" w:ascii="宋体" w:hAnsi="宋体"/>
          <w:sz w:val="28"/>
          <w:szCs w:val="28"/>
        </w:rPr>
        <w:t>本标准为首次编制，既引用、借鉴了国外指南制定手册中关于临床问题确定、证据获取的方法，并结合我国现状，形成了一套慢病管理方法，具有科学性及可行性</w:t>
      </w:r>
      <w:r>
        <w:rPr>
          <w:rFonts w:ascii="宋体" w:hAnsi="宋体"/>
          <w:sz w:val="28"/>
          <w:szCs w:val="28"/>
        </w:rPr>
        <w:t>。</w:t>
      </w:r>
    </w:p>
    <w:p w14:paraId="07466DE5">
      <w:pPr>
        <w:spacing w:before="156" w:beforeLines="50" w:after="156" w:afterLines="50"/>
        <w:rPr>
          <w:rFonts w:ascii="黑体" w:hAnsi="黑体" w:eastAsia="黑体"/>
          <w:sz w:val="28"/>
          <w:szCs w:val="28"/>
        </w:rPr>
      </w:pPr>
      <w:r>
        <w:rPr>
          <w:rFonts w:hint="eastAsia" w:ascii="黑体" w:hAnsi="黑体" w:eastAsia="黑体"/>
          <w:sz w:val="28"/>
          <w:szCs w:val="28"/>
        </w:rPr>
        <w:t>七</w:t>
      </w:r>
      <w:r>
        <w:rPr>
          <w:rFonts w:ascii="黑体" w:hAnsi="黑体" w:eastAsia="黑体"/>
          <w:sz w:val="28"/>
          <w:szCs w:val="28"/>
        </w:rPr>
        <w:t>、与现行法律法规、强制性</w:t>
      </w:r>
      <w:r>
        <w:rPr>
          <w:rFonts w:hint="eastAsia" w:ascii="黑体" w:hAnsi="黑体" w:eastAsia="黑体"/>
          <w:sz w:val="28"/>
          <w:szCs w:val="28"/>
        </w:rPr>
        <w:t>国家</w:t>
      </w:r>
      <w:r>
        <w:rPr>
          <w:rFonts w:ascii="黑体" w:hAnsi="黑体" w:eastAsia="黑体"/>
          <w:sz w:val="28"/>
          <w:szCs w:val="28"/>
        </w:rPr>
        <w:t>标准等</w:t>
      </w:r>
      <w:r>
        <w:rPr>
          <w:rFonts w:hint="eastAsia" w:ascii="黑体" w:hAnsi="黑体" w:eastAsia="黑体"/>
          <w:sz w:val="28"/>
          <w:szCs w:val="28"/>
        </w:rPr>
        <w:t>的</w:t>
      </w:r>
      <w:r>
        <w:rPr>
          <w:rFonts w:ascii="黑体" w:hAnsi="黑体" w:eastAsia="黑体"/>
          <w:sz w:val="28"/>
          <w:szCs w:val="28"/>
        </w:rPr>
        <w:t>关系</w:t>
      </w:r>
    </w:p>
    <w:p w14:paraId="3FFD27CF">
      <w:pPr>
        <w:ind w:firstLine="560" w:firstLineChars="200"/>
        <w:rPr>
          <w:rFonts w:ascii="宋体" w:hAnsi="宋体"/>
          <w:sz w:val="28"/>
          <w:szCs w:val="28"/>
        </w:rPr>
      </w:pPr>
      <w:r>
        <w:rPr>
          <w:rFonts w:hint="eastAsia" w:ascii="宋体" w:hAnsi="宋体"/>
          <w:sz w:val="28"/>
          <w:szCs w:val="28"/>
        </w:rPr>
        <w:t>本标准符合国家相关法律、法规及相关国家标准。</w:t>
      </w:r>
    </w:p>
    <w:p w14:paraId="40E4159B">
      <w:pPr>
        <w:spacing w:before="156" w:beforeLines="50" w:after="156" w:afterLines="50"/>
        <w:rPr>
          <w:rFonts w:ascii="黑体" w:hAnsi="黑体" w:eastAsia="黑体"/>
          <w:sz w:val="28"/>
          <w:szCs w:val="28"/>
        </w:rPr>
      </w:pPr>
      <w:r>
        <w:rPr>
          <w:rFonts w:hint="eastAsia" w:ascii="黑体" w:hAnsi="黑体" w:eastAsia="黑体"/>
          <w:sz w:val="28"/>
          <w:szCs w:val="28"/>
        </w:rPr>
        <w:t>八</w:t>
      </w:r>
      <w:r>
        <w:rPr>
          <w:rFonts w:ascii="黑体" w:hAnsi="黑体" w:eastAsia="黑体"/>
          <w:sz w:val="28"/>
          <w:szCs w:val="28"/>
        </w:rPr>
        <w:t>、与国际、国家、行业、其他省同类标准技术内容的对比情况，或者与测试的国外样品、样机的有关数据对比情况</w:t>
      </w:r>
      <w:r>
        <w:rPr>
          <w:rFonts w:hint="eastAsia" w:ascii="黑体" w:hAnsi="黑体" w:eastAsia="黑体"/>
          <w:sz w:val="28"/>
          <w:szCs w:val="28"/>
        </w:rPr>
        <w:t>，</w:t>
      </w:r>
      <w:r>
        <w:rPr>
          <w:rFonts w:ascii="黑体" w:hAnsi="黑体" w:eastAsia="黑体"/>
          <w:sz w:val="28"/>
          <w:szCs w:val="28"/>
        </w:rPr>
        <w:t>采标情况，以及是否合规引用或采用国际国外标准</w:t>
      </w:r>
    </w:p>
    <w:p w14:paraId="0DE0AA18">
      <w:pPr>
        <w:ind w:firstLine="560" w:firstLineChars="200"/>
        <w:rPr>
          <w:rFonts w:ascii="宋体" w:hAnsi="宋体"/>
          <w:sz w:val="28"/>
          <w:szCs w:val="28"/>
        </w:rPr>
      </w:pPr>
      <w:r>
        <w:rPr>
          <w:rFonts w:hint="eastAsia" w:ascii="宋体" w:hAnsi="宋体"/>
          <w:sz w:val="28"/>
          <w:szCs w:val="28"/>
        </w:rPr>
        <w:t>与国外《2022 AHA/ACC/HFSA Guideline for the Management of Heart Failure》指南相比，在饮食和运动管理的基础上，新增体重、出入量、症状、心理、戒烟限酒管理和中医保健疗法，慢病管理内容的范围更广，更详细。</w:t>
      </w:r>
    </w:p>
    <w:p w14:paraId="55BDAF80">
      <w:pPr>
        <w:spacing w:before="156" w:beforeLines="50" w:after="156" w:afterLines="50"/>
        <w:rPr>
          <w:rFonts w:ascii="黑体" w:hAnsi="黑体" w:eastAsia="黑体"/>
          <w:sz w:val="28"/>
          <w:szCs w:val="28"/>
        </w:rPr>
      </w:pPr>
      <w:r>
        <w:rPr>
          <w:rFonts w:ascii="黑体" w:hAnsi="黑体" w:eastAsia="黑体"/>
          <w:sz w:val="28"/>
          <w:szCs w:val="28"/>
        </w:rPr>
        <w:t>九、涉及专利的有关说明</w:t>
      </w:r>
    </w:p>
    <w:p w14:paraId="67990684">
      <w:pPr>
        <w:ind w:firstLine="560" w:firstLineChars="200"/>
        <w:rPr>
          <w:rFonts w:ascii="宋体" w:hAnsi="宋体"/>
          <w:sz w:val="28"/>
          <w:szCs w:val="28"/>
        </w:rPr>
      </w:pPr>
      <w:r>
        <w:rPr>
          <w:rFonts w:hint="eastAsia" w:ascii="宋体" w:hAnsi="宋体"/>
          <w:sz w:val="28"/>
          <w:szCs w:val="28"/>
        </w:rPr>
        <w:t>无。</w:t>
      </w:r>
    </w:p>
    <w:p w14:paraId="6145578B">
      <w:pPr>
        <w:spacing w:before="156" w:beforeLines="50" w:after="156" w:afterLines="50"/>
        <w:rPr>
          <w:rFonts w:ascii="黑体" w:hAnsi="黑体" w:eastAsia="黑体"/>
          <w:sz w:val="28"/>
          <w:szCs w:val="28"/>
        </w:rPr>
      </w:pPr>
      <w:r>
        <w:rPr>
          <w:rFonts w:hint="eastAsia" w:ascii="黑体" w:hAnsi="黑体" w:eastAsia="黑体"/>
          <w:sz w:val="28"/>
          <w:szCs w:val="28"/>
        </w:rPr>
        <w:t>十</w:t>
      </w:r>
      <w:r>
        <w:rPr>
          <w:rFonts w:ascii="黑体" w:hAnsi="黑体" w:eastAsia="黑体"/>
          <w:sz w:val="28"/>
          <w:szCs w:val="28"/>
        </w:rPr>
        <w:t>、其他应当说明的事项</w:t>
      </w:r>
    </w:p>
    <w:p w14:paraId="327890DE">
      <w:pPr>
        <w:ind w:firstLine="560" w:firstLineChars="200"/>
        <w:rPr>
          <w:rFonts w:ascii="宋体" w:hAnsi="宋体"/>
          <w:sz w:val="28"/>
          <w:szCs w:val="28"/>
        </w:rPr>
      </w:pPr>
      <w:r>
        <w:rPr>
          <w:rFonts w:hint="eastAsia" w:ascii="宋体" w:hAnsi="宋体"/>
          <w:sz w:val="28"/>
          <w:szCs w:val="28"/>
        </w:rPr>
        <w:t>无。</w:t>
      </w:r>
    </w:p>
    <w:p w14:paraId="7A905169">
      <w:pPr>
        <w:spacing w:before="156" w:beforeLines="50" w:after="156" w:afterLines="50"/>
        <w:rPr>
          <w:rFonts w:ascii="黑体" w:hAnsi="黑体" w:eastAsia="黑体"/>
          <w:sz w:val="28"/>
          <w:szCs w:val="28"/>
        </w:rPr>
      </w:pPr>
      <w:r>
        <w:rPr>
          <w:rFonts w:ascii="黑体" w:hAnsi="黑体" w:eastAsia="黑体"/>
          <w:sz w:val="28"/>
          <w:szCs w:val="28"/>
        </w:rPr>
        <w:t>十</w:t>
      </w:r>
      <w:r>
        <w:rPr>
          <w:rFonts w:hint="eastAsia" w:ascii="黑体" w:hAnsi="黑体" w:eastAsia="黑体"/>
          <w:sz w:val="28"/>
          <w:szCs w:val="28"/>
        </w:rPr>
        <w:t>一</w:t>
      </w:r>
      <w:r>
        <w:rPr>
          <w:rFonts w:ascii="黑体" w:hAnsi="黑体" w:eastAsia="黑体"/>
          <w:sz w:val="28"/>
          <w:szCs w:val="28"/>
        </w:rPr>
        <w:t>、贯彻地方标准</w:t>
      </w:r>
      <w:r>
        <w:rPr>
          <w:rFonts w:hint="eastAsia" w:ascii="黑体" w:hAnsi="黑体" w:eastAsia="黑体"/>
          <w:sz w:val="28"/>
          <w:szCs w:val="28"/>
        </w:rPr>
        <w:t>的</w:t>
      </w:r>
      <w:r>
        <w:rPr>
          <w:rFonts w:ascii="黑体" w:hAnsi="黑体" w:eastAsia="黑体"/>
          <w:sz w:val="28"/>
          <w:szCs w:val="28"/>
        </w:rPr>
        <w:t>建议</w:t>
      </w:r>
    </w:p>
    <w:p w14:paraId="3FE650C0">
      <w:pPr>
        <w:ind w:firstLine="560" w:firstLineChars="200"/>
        <w:rPr>
          <w:rFonts w:ascii="宋体" w:hAnsi="宋体"/>
          <w:sz w:val="28"/>
          <w:szCs w:val="28"/>
        </w:rPr>
      </w:pPr>
      <w:r>
        <w:rPr>
          <w:rFonts w:hint="eastAsia" w:ascii="宋体" w:hAnsi="宋体"/>
          <w:sz w:val="28"/>
          <w:szCs w:val="28"/>
        </w:rPr>
        <w:t>标准属于推荐标准。</w:t>
      </w:r>
      <w:r>
        <w:rPr>
          <w:rFonts w:hint="eastAsia" w:ascii="Times New Roman" w:hAnsi="Times New Roman"/>
          <w:sz w:val="28"/>
          <w:szCs w:val="28"/>
        </w:rPr>
        <w:t>建议行业主管部门协助下发至各市、县（区）医疗主管部门，宣贯标准文件，倡导各市、县（区）医疗卫生机构积极使用本标准。本标准实施后，标准起草单位和医疗行业协会、中介组织等联合举办标准宣贯培训班，开展贯标咨询服务，辅导各级医疗卫生机构贯标，标准起草单位提供专家顾问支持。</w:t>
      </w:r>
    </w:p>
    <w:p w14:paraId="78750A6C">
      <w:pPr>
        <w:ind w:firstLine="560" w:firstLineChars="200"/>
        <w:rPr>
          <w:rFonts w:ascii="宋体" w:hAnsi="宋体"/>
          <w:sz w:val="28"/>
          <w:szCs w:val="28"/>
        </w:rPr>
      </w:pPr>
      <w:r>
        <w:rPr>
          <w:rFonts w:hint="eastAsia" w:ascii="宋体" w:hAnsi="宋体"/>
          <w:sz w:val="28"/>
          <w:szCs w:val="28"/>
        </w:rPr>
        <w:t>本标准实施后，标准起草单位通过各种学术公众号、视频、网络形式对本标准进行宣讲和推广，让更多的专业人士了解标准，并加以应用。</w:t>
      </w:r>
    </w:p>
    <w:p w14:paraId="2E0E6CE7">
      <w:pPr>
        <w:ind w:firstLine="560" w:firstLineChars="200"/>
        <w:rPr>
          <w:rFonts w:ascii="宋体" w:hAnsi="宋体"/>
          <w:sz w:val="28"/>
          <w:szCs w:val="28"/>
        </w:rPr>
      </w:pPr>
      <w:r>
        <w:rPr>
          <w:rFonts w:hint="eastAsia" w:ascii="宋体" w:hAnsi="宋体"/>
          <w:sz w:val="28"/>
          <w:szCs w:val="28"/>
        </w:rPr>
        <w:t>本标准实施后，加强与媒体沟通，将标准的推行使用情况及时快捷地进行报道宣传，扩大标准实施运用的影响力，接受各方监督，推进标准不断完善。</w:t>
      </w:r>
    </w:p>
    <w:p w14:paraId="55A3597D">
      <w:pPr>
        <w:ind w:firstLine="560" w:firstLineChars="200"/>
        <w:jc w:val="right"/>
        <w:rPr>
          <w:rFonts w:ascii="宋体" w:hAnsi="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18179"/>
    <w:multiLevelType w:val="singleLevel"/>
    <w:tmpl w:val="91518179"/>
    <w:lvl w:ilvl="0" w:tentative="0">
      <w:start w:val="2"/>
      <w:numFmt w:val="chineseCounting"/>
      <w:suff w:val="nothing"/>
      <w:lvlText w:val="（%1）"/>
      <w:lvlJc w:val="left"/>
      <w:rPr>
        <w:rFonts w:hint="eastAsia"/>
      </w:rPr>
    </w:lvl>
  </w:abstractNum>
  <w:abstractNum w:abstractNumId="1">
    <w:nsid w:val="ED3F5FA8"/>
    <w:multiLevelType w:val="singleLevel"/>
    <w:tmpl w:val="ED3F5FA8"/>
    <w:lvl w:ilvl="0" w:tentative="0">
      <w:start w:val="4"/>
      <w:numFmt w:val="chineseCounting"/>
      <w:suff w:val="nothing"/>
      <w:lvlText w:val="%1、"/>
      <w:lvlJc w:val="left"/>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1AB"/>
    <w:rsid w:val="00007B38"/>
    <w:rsid w:val="000148C5"/>
    <w:rsid w:val="00021127"/>
    <w:rsid w:val="00054392"/>
    <w:rsid w:val="00074CE6"/>
    <w:rsid w:val="000A6903"/>
    <w:rsid w:val="00104D46"/>
    <w:rsid w:val="00105AD9"/>
    <w:rsid w:val="00105D4E"/>
    <w:rsid w:val="00110907"/>
    <w:rsid w:val="00120D81"/>
    <w:rsid w:val="001369CB"/>
    <w:rsid w:val="00152F5D"/>
    <w:rsid w:val="00161012"/>
    <w:rsid w:val="00197820"/>
    <w:rsid w:val="001A3B25"/>
    <w:rsid w:val="001C6F7F"/>
    <w:rsid w:val="001D4BC3"/>
    <w:rsid w:val="001E2A9D"/>
    <w:rsid w:val="001F0FD9"/>
    <w:rsid w:val="00230B2F"/>
    <w:rsid w:val="00241D2F"/>
    <w:rsid w:val="002533AA"/>
    <w:rsid w:val="002652F1"/>
    <w:rsid w:val="00276587"/>
    <w:rsid w:val="00281E1B"/>
    <w:rsid w:val="00287F52"/>
    <w:rsid w:val="00297E9F"/>
    <w:rsid w:val="002A5172"/>
    <w:rsid w:val="002B4498"/>
    <w:rsid w:val="002C531C"/>
    <w:rsid w:val="002C7B85"/>
    <w:rsid w:val="002D5483"/>
    <w:rsid w:val="002E1C16"/>
    <w:rsid w:val="00302D16"/>
    <w:rsid w:val="003111CC"/>
    <w:rsid w:val="0031238B"/>
    <w:rsid w:val="0034024C"/>
    <w:rsid w:val="00340923"/>
    <w:rsid w:val="00340E11"/>
    <w:rsid w:val="00356BCC"/>
    <w:rsid w:val="00366449"/>
    <w:rsid w:val="0039037E"/>
    <w:rsid w:val="00393F1B"/>
    <w:rsid w:val="0039614F"/>
    <w:rsid w:val="003A684B"/>
    <w:rsid w:val="003B5477"/>
    <w:rsid w:val="003D1402"/>
    <w:rsid w:val="003D22A3"/>
    <w:rsid w:val="00410100"/>
    <w:rsid w:val="00420B3F"/>
    <w:rsid w:val="004258BD"/>
    <w:rsid w:val="00436A3F"/>
    <w:rsid w:val="00456299"/>
    <w:rsid w:val="004634E7"/>
    <w:rsid w:val="00465468"/>
    <w:rsid w:val="004655B8"/>
    <w:rsid w:val="004677E2"/>
    <w:rsid w:val="004815FD"/>
    <w:rsid w:val="00541E29"/>
    <w:rsid w:val="00552572"/>
    <w:rsid w:val="00572FB4"/>
    <w:rsid w:val="005964AA"/>
    <w:rsid w:val="005D3DF7"/>
    <w:rsid w:val="00603705"/>
    <w:rsid w:val="006261E3"/>
    <w:rsid w:val="00637384"/>
    <w:rsid w:val="00677AB4"/>
    <w:rsid w:val="00692972"/>
    <w:rsid w:val="006F35F8"/>
    <w:rsid w:val="006F7425"/>
    <w:rsid w:val="00717F65"/>
    <w:rsid w:val="0073104E"/>
    <w:rsid w:val="00731682"/>
    <w:rsid w:val="007657F5"/>
    <w:rsid w:val="00772E4B"/>
    <w:rsid w:val="007B671B"/>
    <w:rsid w:val="007D4EB8"/>
    <w:rsid w:val="008060DA"/>
    <w:rsid w:val="0083555E"/>
    <w:rsid w:val="00844BEC"/>
    <w:rsid w:val="0084631B"/>
    <w:rsid w:val="00870B16"/>
    <w:rsid w:val="008738DE"/>
    <w:rsid w:val="008847D6"/>
    <w:rsid w:val="008940C8"/>
    <w:rsid w:val="008A27C7"/>
    <w:rsid w:val="008C465F"/>
    <w:rsid w:val="008D40BC"/>
    <w:rsid w:val="009042CE"/>
    <w:rsid w:val="00942FEA"/>
    <w:rsid w:val="00986C06"/>
    <w:rsid w:val="009A181C"/>
    <w:rsid w:val="009B1A86"/>
    <w:rsid w:val="009B49BC"/>
    <w:rsid w:val="009B7179"/>
    <w:rsid w:val="00A011D6"/>
    <w:rsid w:val="00A23320"/>
    <w:rsid w:val="00A75E02"/>
    <w:rsid w:val="00A86ABE"/>
    <w:rsid w:val="00A9237D"/>
    <w:rsid w:val="00AA0E67"/>
    <w:rsid w:val="00AC36C0"/>
    <w:rsid w:val="00B0568A"/>
    <w:rsid w:val="00B26210"/>
    <w:rsid w:val="00B52E3C"/>
    <w:rsid w:val="00B538B6"/>
    <w:rsid w:val="00B708A6"/>
    <w:rsid w:val="00B731AB"/>
    <w:rsid w:val="00BA1F6A"/>
    <w:rsid w:val="00BA647F"/>
    <w:rsid w:val="00BC136A"/>
    <w:rsid w:val="00BC29DC"/>
    <w:rsid w:val="00BD5AF7"/>
    <w:rsid w:val="00C06D38"/>
    <w:rsid w:val="00C701E5"/>
    <w:rsid w:val="00C8528B"/>
    <w:rsid w:val="00CB2C0D"/>
    <w:rsid w:val="00CC77DC"/>
    <w:rsid w:val="00CE22D1"/>
    <w:rsid w:val="00CE4376"/>
    <w:rsid w:val="00D126E7"/>
    <w:rsid w:val="00D359E4"/>
    <w:rsid w:val="00D55423"/>
    <w:rsid w:val="00D74042"/>
    <w:rsid w:val="00D912E4"/>
    <w:rsid w:val="00DA2E18"/>
    <w:rsid w:val="00DE66F4"/>
    <w:rsid w:val="00DE7259"/>
    <w:rsid w:val="00E01923"/>
    <w:rsid w:val="00E055F8"/>
    <w:rsid w:val="00E85837"/>
    <w:rsid w:val="00E85AF7"/>
    <w:rsid w:val="00EA5130"/>
    <w:rsid w:val="00EC0803"/>
    <w:rsid w:val="00EC3931"/>
    <w:rsid w:val="00EE0D2B"/>
    <w:rsid w:val="00F20ACF"/>
    <w:rsid w:val="00F24D51"/>
    <w:rsid w:val="00F32413"/>
    <w:rsid w:val="00F41A56"/>
    <w:rsid w:val="00F51063"/>
    <w:rsid w:val="00F61CEB"/>
    <w:rsid w:val="00F627B9"/>
    <w:rsid w:val="00F91889"/>
    <w:rsid w:val="00FA7F55"/>
    <w:rsid w:val="00FB19D5"/>
    <w:rsid w:val="06175254"/>
    <w:rsid w:val="08B576D2"/>
    <w:rsid w:val="09C55EF2"/>
    <w:rsid w:val="0C645851"/>
    <w:rsid w:val="0CB23961"/>
    <w:rsid w:val="0E6B25E0"/>
    <w:rsid w:val="12CF75E2"/>
    <w:rsid w:val="13E62E35"/>
    <w:rsid w:val="15BA4143"/>
    <w:rsid w:val="18BF2661"/>
    <w:rsid w:val="1D126A49"/>
    <w:rsid w:val="1EF1268E"/>
    <w:rsid w:val="1F3C0467"/>
    <w:rsid w:val="2144119B"/>
    <w:rsid w:val="21F52594"/>
    <w:rsid w:val="220A2DB9"/>
    <w:rsid w:val="2378337E"/>
    <w:rsid w:val="23EE53EE"/>
    <w:rsid w:val="24BB3477"/>
    <w:rsid w:val="277976C4"/>
    <w:rsid w:val="2A7B559E"/>
    <w:rsid w:val="31BC257A"/>
    <w:rsid w:val="31D420C7"/>
    <w:rsid w:val="32E60304"/>
    <w:rsid w:val="33C65A3F"/>
    <w:rsid w:val="3511718E"/>
    <w:rsid w:val="40271F5C"/>
    <w:rsid w:val="42C60897"/>
    <w:rsid w:val="43672D9B"/>
    <w:rsid w:val="48783354"/>
    <w:rsid w:val="497879C4"/>
    <w:rsid w:val="498E0956"/>
    <w:rsid w:val="51654692"/>
    <w:rsid w:val="51B63E73"/>
    <w:rsid w:val="52092E71"/>
    <w:rsid w:val="5B3A093D"/>
    <w:rsid w:val="5DA36C6E"/>
    <w:rsid w:val="649410BE"/>
    <w:rsid w:val="66BC48FC"/>
    <w:rsid w:val="6870599E"/>
    <w:rsid w:val="6CB82A42"/>
    <w:rsid w:val="72306A71"/>
    <w:rsid w:val="7A37631C"/>
    <w:rsid w:val="7C975798"/>
    <w:rsid w:val="7F8C0EB8"/>
    <w:rsid w:val="DD2F4633"/>
    <w:rsid w:val="FFBE3F3C"/>
    <w:rsid w:val="FFF70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qFormat/>
    <w:uiPriority w:val="99"/>
    <w:rPr>
      <w:rFonts w:ascii="宋体" w:hAnsi="Times New Roman" w:eastAsia="宋体"/>
      <w:color w:val="auto"/>
      <w:spacing w:val="0"/>
      <w:w w:val="100"/>
      <w:position w:val="0"/>
      <w:sz w:val="21"/>
      <w:u w:val="none"/>
      <w:vertAlign w:val="baseline"/>
    </w:rPr>
  </w:style>
  <w:style w:type="character" w:customStyle="1" w:styleId="10">
    <w:name w:val="页脚 字符"/>
    <w:link w:val="3"/>
    <w:qFormat/>
    <w:uiPriority w:val="0"/>
    <w:rPr>
      <w:kern w:val="2"/>
      <w:sz w:val="18"/>
      <w:szCs w:val="18"/>
    </w:rPr>
  </w:style>
  <w:style w:type="character" w:customStyle="1" w:styleId="11">
    <w:name w:val="页眉 字符"/>
    <w:link w:val="4"/>
    <w:qFormat/>
    <w:uiPriority w:val="0"/>
    <w:rPr>
      <w:kern w:val="2"/>
      <w:sz w:val="18"/>
      <w:szCs w:val="18"/>
    </w:rPr>
  </w:style>
  <w:style w:type="character" w:customStyle="1" w:styleId="12">
    <w:name w:val="批注框文本 字符"/>
    <w:link w:val="2"/>
    <w:qFormat/>
    <w:uiPriority w:val="0"/>
    <w:rPr>
      <w:kern w:val="2"/>
      <w:sz w:val="18"/>
      <w:szCs w:val="18"/>
    </w:rPr>
  </w:style>
  <w:style w:type="paragraph" w:customStyle="1" w:styleId="13">
    <w:name w:val="标准文件_二级条标题"/>
    <w:next w:val="14"/>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二级无标题"/>
    <w:basedOn w:val="13"/>
    <w:qFormat/>
    <w:uiPriority w:val="0"/>
    <w:pPr>
      <w:spacing w:before="0" w:beforeLines="0" w:after="0" w:afterLines="0"/>
      <w:outlineLvl w:val="9"/>
    </w:pPr>
    <w:rPr>
      <w:rFonts w:ascii="宋体" w:eastAsia="宋体"/>
    </w:rPr>
  </w:style>
  <w:style w:type="character" w:customStyle="1" w:styleId="16">
    <w:name w:val="fontstyle01"/>
    <w:basedOn w:val="8"/>
    <w:qFormat/>
    <w:uiPriority w:val="0"/>
    <w:rPr>
      <w:rFonts w:ascii="MicrosoftYaHei" w:hAnsi="MicrosoftYaHei" w:eastAsia="MicrosoftYaHei" w:cs="MicrosoftYaHei"/>
      <w:color w:val="42424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2860</Words>
  <Characters>2988</Characters>
  <Lines>1</Lines>
  <Paragraphs>6</Paragraphs>
  <TotalTime>37</TotalTime>
  <ScaleCrop>false</ScaleCrop>
  <LinksUpToDate>false</LinksUpToDate>
  <CharactersWithSpaces>3007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2023-06-20T04:25:00Z</dcterms:created>
  <dc:creator>Administrator</dc:creator>
  <cp:lastModifiedBy>赵经营</cp:lastModifiedBy>
  <cp:lastPrinted>2025-03-04T04:55:00Z</cp:lastPrinted>
  <dcterms:modified xsi:type="dcterms:W3CDTF">2025-04-21T03:35:59Z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3D0483B5F97B4E3E893CC8DD0F157685</vt:lpwstr>
  </property>
  <property fmtid="{D5CDD505-2E9C-101B-9397-08002B2CF9AE}" pid="4" name="KSOTemplateDocerSaveRecord">
    <vt:lpwstr>eyJoZGlkIjoiMTMwYWRhYzIzMDkzYjBhMmVlNWRlNTc3NmYxMDFkZDIiLCJ1c2VySWQiOiI0NDU2MjgzMzUifQ==</vt:lpwstr>
  </property>
</Properties>
</file>